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E9418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9418F" w:rsidRDefault="00172384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E9418F" w:rsidRDefault="00172384">
            <w:pPr>
              <w:spacing w:after="0" w:line="240" w:lineRule="auto"/>
            </w:pPr>
            <w:r>
              <w:t>8658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9418F" w:rsidRDefault="00172384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E9418F" w:rsidRDefault="00172384">
            <w:pPr>
              <w:spacing w:after="0" w:line="240" w:lineRule="auto"/>
            </w:pPr>
            <w:r>
              <w:t>OSNOVNA ŠKOLA GRIGORA VITEZA POLJANA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E9418F" w:rsidRDefault="00172384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E9418F" w:rsidRDefault="00172384">
            <w:pPr>
              <w:spacing w:after="0" w:line="240" w:lineRule="auto"/>
            </w:pPr>
            <w:r>
              <w:t>31</w:t>
            </w:r>
          </w:p>
        </w:tc>
      </w:tr>
    </w:tbl>
    <w:p w:rsidR="00E9418F" w:rsidRDefault="00172384">
      <w:r>
        <w:br/>
      </w:r>
    </w:p>
    <w:p w:rsidR="00E9418F" w:rsidRDefault="00172384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E9418F" w:rsidRDefault="00172384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E9418F" w:rsidRDefault="00172384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348.388,44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379.859,81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109,0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396.789,30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378.164,32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1.695,49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1.493,41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U razdoblju od 1. siječnja do 30. lipnja 2026. ukupni prihodi poslovanja ostvareni su u iznosu od 379.859,81 eura. Rashodi poslovanja u razdoblju od 1. siječnja do 30. lipnja 2026. ostvareni su u iznosu od 378.164.32 eura. Najveći udio u prihodima i rashod</w:t>
      </w:r>
      <w:r>
        <w:t>ima odnosi se na redovno poslovanje škole, plaće i materijalna prava zaposlenika. Ostvareni višak prihoda poslovanja od 1. siječnja do 30. lipnja 2026.  iznosi 1.695,49 euro, te manjak prihoda od nefinancijske imovine u iznosu od 202,08 eura (kupnja lektir</w:t>
      </w:r>
      <w:r>
        <w:t>e). Ukupni manjak prihoda i primitaka preneseni iz 2025. godine iznosi 59.848,85 eura.</w:t>
      </w:r>
    </w:p>
    <w:p w:rsidR="00E9418F" w:rsidRDefault="00172384">
      <w:pPr>
        <w:jc w:val="both"/>
      </w:pPr>
      <w:r>
        <w:lastRenderedPageBreak/>
        <w:t> </w:t>
      </w:r>
    </w:p>
    <w:p w:rsidR="00E9418F" w:rsidRDefault="00172384">
      <w:r>
        <w:br/>
      </w:r>
    </w:p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326.620,87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354.612,37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108,6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Prihodi od pomoći bilježe povećanje za 8,60% u odnosu na izvještajno razdoblje prethodne godine, radi većih povećanja rashoda za plaće zaposlenika, materijalnih davanja i troškova prehrane učenika. Na povećanje ima utjecaj i to što je škola u ovom izvješta</w:t>
      </w:r>
      <w:r>
        <w:t>jnom razdobju ove godine dobila više sredstava iz Grada Lipika: za kupnju lektire, sufinanciranje projekta Škola u prirodi i tisak školskog časopisa.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266,7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Povećanje prihoda za 166,70%  u odnosu na prethodno razdoblje, rezultat je naplate dugovanja roditelja za školsku kuhinju.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136,4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Prihodi od donacija pravnih i fizičkih osoba bilježe povećanje za 36,40% radi više uplaćenih prihoda u odnosu na prethodno razdoblje, a koji se odnose izvanučioničku nastavu.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</w:t>
            </w:r>
            <w:r>
              <w:rPr>
                <w:b/>
                <w:sz w:val="18"/>
              </w:rPr>
              <w:t>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21.292,44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24.367,07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114,4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prihoda iz nadležnog proračuna za 14,40%, radi prihoda za plaćanje izrade elaborata za procjenu rizika i upravljanje rizikom vodoopskrbne mreže.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349.779,43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327.434,59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93,6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Smanjenje rashoda u odnosu na prethodno razdoblje rezultat je promjene načina knjiženja plaća. U prethodnoj godini, u razdoblju od 1. siječnja do 30. lipnja 2025., evidentiran je i rashod za plaće za prosinac 2024. godine. U vezi s tim, rashodi za ostale r</w:t>
      </w:r>
      <w:r>
        <w:t>ashode za plaće poput doprinosa, poreza na dohodak i ostalog zabilježili su isto smanjenje.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9.236,90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7.363,00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79,7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Smanjenje rashoda za prekovremeni rad za 20,30% u odnosu na izvještajno razdoblje prethodne godine, radi manje odrađenih prekovremenih sati.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168,4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u odnsu na izvještajno razdoblje prethodne godine, rad osposobljavanja radnika za rad s dokumentarnim i arhivskim gradivom izvan arhiva (stručni sipit).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</w:t>
            </w:r>
            <w:r>
              <w:rPr>
                <w:b/>
                <w:sz w:val="18"/>
              </w:rPr>
              <w:t>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2.007,68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2.301,26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114,6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rashoda za 14,60% u odnosu na izvještajno razdoblje prethodne godine za uredski materijal i ostale materijalne rashode, radi porasta cijena uredskog materijala.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</w:t>
            </w:r>
            <w:r>
              <w:rPr>
                <w:b/>
                <w:sz w:val="18"/>
              </w:rPr>
              <w:t>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357,3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za 257,30% u odnosu na izvještajno razdoblje prethodne godine radi potrebe za sanacijom dijela krova iznad kotlovnice te materijala za uređenje školske knjižnice.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805,35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877,23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108,9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Rashodi za usluge, telefona, interneta, pošte - povećanje za 8,90% u odnosu na prethodno izvještajno razdoblje radi povećanja cijena usluga.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583,0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Rashodi za intelektualne i osobne usluge bilježe povećanje za 483,00% u odnosu na isto razdoblje prošle godine, radi toga što je u ovom izvještajnom razdoblju plaćena izrada elaborata za procjenu rizika i upravljanja rizikom kućne vodoopskrbne mreže u izno</w:t>
      </w:r>
      <w:r>
        <w:t>su od 3.125,00 eura.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1.440,38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1.626,87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112,9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Rashodi za računalne usluge bilježe povećanje za 12,90% u odnosu na izvještajno razdoblje prethodne godine, radi povećanja cijena usluga.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222,72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rashoda za 21,70% u odnosu na izještajno razdoblje prethodne godine, rezultat je više odobrenih i dobivenih sredstava za higijenske potrepštine. 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</w:t>
            </w:r>
            <w:r>
              <w:rPr>
                <w:b/>
                <w:sz w:val="18"/>
              </w:rPr>
              <w:t>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U ovom izvještajnom razdoblju Grad Lipik je doznačio iznos od 202,08 eura za kupnju lektire za školsku knjižnicu.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</w:t>
            </w:r>
            <w:r>
              <w:rPr>
                <w:b/>
                <w:sz w:val="18"/>
              </w:rPr>
              <w:t>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- preneseni (šifre '9221x,9222x MP' - '9221x,9222x VP' + 92223 - 92213)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9222-9221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5.910,11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59.848,85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1012,7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Manjak - prihoda  i primitaka preneseni - povećanje manjka za 912,70% u odnosu na izvještajno razdoblje prethodne godine, najvećim je dijelom zbog promjene načina knjiženja plaća za prosinac 2025. (ukidanja vremenskih razgraničenja i knjiženja rashoda za p</w:t>
      </w:r>
      <w:r>
        <w:t>laću 12/2025 u prosincu 2025. godine).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primitaka za pokriće u sljedećem </w:t>
            </w:r>
            <w:r>
              <w:rPr>
                <w:sz w:val="18"/>
              </w:rPr>
              <w:t>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54.310,97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58.355,44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107,4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Manjak prihoda u iznosu od 58.355,44 eura rezultat je ponajprije knjiženja rashoda za plaće i materijalna prava zaposlenika za lipanj, a koji će biti pokriveni u srpnju 2026. Nadalje, dio manjka proizlazi iz knjiženja ostalih rashoda na dan 30. lipnja 2026</w:t>
      </w:r>
      <w:r>
        <w:t>., dok će njihovo plaćanje, odnosno prihod, biti realiziran u sljedećem razdoblju.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1. siječnja (=stanju obveza iz Izvještaja o obvezama na 31. </w:t>
            </w:r>
            <w:r>
              <w:rPr>
                <w:sz w:val="18"/>
              </w:rPr>
              <w:t>prosinca 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96.022,17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Stanje obveza na dan 1. siječnja 2026. godine iznosi 96.022,17 eura.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Povećanje obveza u izvještajnom razdoblju (šifre V003+N23+N24 + 'N dio</w:t>
            </w:r>
            <w:r>
              <w:rPr>
                <w:sz w:val="18"/>
              </w:rPr>
              <w:t xml:space="preserve"> 25,26'+N27)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386.597,42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Povećanje obveza u izvještajnom razdoblju od 1. siječnja 2026. do 30. lipnja 2026. iznosi 386.597,42 eura.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Podmirene obveze u izvještajnom razdoblju </w:t>
            </w:r>
            <w:r>
              <w:rPr>
                <w:sz w:val="18"/>
              </w:rPr>
              <w:t>(šifre V005+P23+P24 + 'P dio 25,26'+P27)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403.134,31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Podmirene obveze u izvještajnom razdoblju od 1. siječnja 2026. do 30. lipnja 2026. godine iznose 403.134,31 eura.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U ovom izvještajnom razdoblju nema dospjelih nepodmirenih obveza.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79.485,28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Stanje nedospjelih obveza na kraju izvještajno razdoblja iznosi 79.485,28 eura. Struktura nedospjelih obveza: Plaća i materijalna prava za 06/2026 54.162,86 eura, plaća za 06/2026 za pomoćnike u nastavi 2.041,06 eura, obveza materijalne rashode 2.465,29 eu</w:t>
      </w:r>
      <w:r>
        <w:t>ra, obveze za jamčevine i predujmove 20.063,35 eura i 752,72 eura obveze za povrat u proračun sredstava koja refundira HZZO (bolovanja).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E9418F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752,72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Međusobne obveze subjekata općeg proračuna - obveze za povrat u proračun sredstava koje refundira HZZO (bolovanja) iznose 752,72 eura.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58.669,21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pPr>
        <w:jc w:val="both"/>
      </w:pPr>
      <w:r>
        <w:t>Obveze za rashode poslovanja iznose 58.669,21 eura (54.162,86 plaća za 06/2026, plaća za 06/2026 za pomoćnike u nastavi 2.041,06 eura, obveze za materijalne rashode 2.465,29 eura)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E94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9418F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predujmove, depozite, jamčevne pologe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20.063,35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E9418F" w:rsidRDefault="00172384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E9418F" w:rsidRDefault="00E9418F">
      <w:pPr>
        <w:spacing w:after="0"/>
      </w:pPr>
    </w:p>
    <w:p w:rsidR="00E9418F" w:rsidRDefault="00172384">
      <w:r>
        <w:t>Obveze za jamčevine iznose 17.451,03 eura, obveze za predujmove 2.612,32 eura.  </w:t>
      </w:r>
    </w:p>
    <w:p w:rsidR="00E9418F" w:rsidRDefault="00E9418F"/>
    <w:p w:rsidR="00E9418F" w:rsidRDefault="00172384">
      <w:pPr>
        <w:keepNext/>
        <w:spacing w:line="240" w:lineRule="auto"/>
        <w:jc w:val="center"/>
      </w:pPr>
      <w:r>
        <w:rPr>
          <w:sz w:val="28"/>
        </w:rPr>
        <w:t>Bilješka 26.</w:t>
      </w:r>
    </w:p>
    <w:p w:rsidR="00E9418F" w:rsidRDefault="00172384">
      <w:pPr>
        <w:spacing w:line="240" w:lineRule="auto"/>
        <w:jc w:val="both"/>
      </w:pPr>
      <w:r>
        <w:rPr>
          <w:b/>
        </w:rPr>
        <w:t>EU izvještaj</w:t>
      </w:r>
    </w:p>
    <w:p w:rsidR="00E9418F" w:rsidRDefault="00172384">
      <w:r>
        <w:t>U sklopu projekta Obrazujmo se zajedno VIII zaposlene su dvije pomoćnice u nastavi.</w:t>
      </w:r>
    </w:p>
    <w:p w:rsidR="00E9418F" w:rsidRDefault="00172384">
      <w:r>
        <w:t>Ostvareni prihodi u razdoblju od 1. siječnja do 30. lipnja 2026. raspoređeni su na:</w:t>
      </w:r>
      <w:r>
        <w:br/>
        <w:t>561 Europski socijalni fond plus - 85% prihoda u iznosu od 6.746,78 eura i </w:t>
      </w:r>
      <w:r>
        <w:br/>
        <w:t>Nacionalno s</w:t>
      </w:r>
      <w:r>
        <w:t>ufinanciranje - 15% prihoda u iznosu 1.190,60 eura.</w:t>
      </w:r>
    </w:p>
    <w:p w:rsidR="00E9418F" w:rsidRDefault="00172384">
      <w:r>
        <w:t>Ostvareni rashodi u razdoblju od 1. siječnja do 30. lipnja 2026. raspoređeni su na:</w:t>
      </w:r>
      <w:r>
        <w:br/>
        <w:t>561 Europski socijalni fond plus - 85% rashoda u iznosu od 6.694,79 eura i </w:t>
      </w:r>
      <w:r>
        <w:br/>
        <w:t>Nacionalno sufinanciranje - 15% rashoda u iz</w:t>
      </w:r>
      <w:r>
        <w:t>nosu od 1.181,44 eura.</w:t>
      </w:r>
    </w:p>
    <w:p w:rsidR="00E9418F" w:rsidRDefault="00E9418F"/>
    <w:sectPr w:rsidR="00E94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8F"/>
    <w:rsid w:val="00172384"/>
    <w:rsid w:val="00E9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1F3A9-80ED-4D4E-9F17-41C67F2E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1846</Words>
  <Characters>10524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 Poljana</dc:creator>
  <cp:lastModifiedBy>Đurđica Chadjim</cp:lastModifiedBy>
  <cp:revision>2</cp:revision>
  <dcterms:created xsi:type="dcterms:W3CDTF">2026-07-14T09:36:00Z</dcterms:created>
  <dcterms:modified xsi:type="dcterms:W3CDTF">2026-07-14T09:36:00Z</dcterms:modified>
</cp:coreProperties>
</file>